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2"/>
              <w:tblW w:w="0" w:type="auto"/>
              <w:tblCellSpacing w:w="0" w:type="dxa"/>
              <w:tblInd w:w="0" w:type="dxa"/>
              <w:tblLayout w:type="autofit"/>
              <w:tblCellMar>
                <w:top w:w="0" w:type="dxa"/>
                <w:left w:w="0" w:type="dxa"/>
                <w:bottom w:w="0" w:type="dxa"/>
                <w:right w:w="0" w:type="dxa"/>
              </w:tblCellMar>
            </w:tblPr>
            <w:tblGrid>
              <w:gridCol w:w="9860"/>
            </w:tblGrid>
            <w:tr>
              <w:tblPrEx>
                <w:tblCellMar>
                  <w:top w:w="0" w:type="dxa"/>
                  <w:left w:w="0" w:type="dxa"/>
                  <w:bottom w:w="0" w:type="dxa"/>
                  <w:right w:w="0" w:type="dxa"/>
                </w:tblCellMar>
              </w:tblPrEx>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lang w:val="en-US" w:eastAsia="zh-CN"/>
              </w:rPr>
              <w:t>数学</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rPr>
          <w:trHeight w:val="501"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艺术教育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教学部</w:t>
            </w:r>
          </w:p>
        </w:tc>
      </w:tr>
      <w:tr>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数学</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21保育2班</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陈作进</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rPr>
          <w:trHeight w:val="1305" w:hRule="atLeast"/>
        </w:trPr>
        <w:tc>
          <w:tcPr>
            <w:tcW w:w="10490" w:type="dxa"/>
            <w:tcBorders>
              <w:top w:val="nil"/>
              <w:left w:val="nil"/>
              <w:bottom w:val="nil"/>
              <w:right w:val="nil"/>
            </w:tcBorders>
            <w:shd w:val="clear" w:color="auto" w:fill="auto"/>
            <w:noWrap/>
            <w:vAlign w:val="bottom"/>
          </w:tcPr>
          <w:p>
            <w:pPr>
              <w:widowControl/>
              <w:jc w:val="center"/>
              <w:rPr>
                <w:rFonts w:hint="default" w:ascii="宋体" w:hAnsi="宋体" w:eastAsia="宋体" w:cs="宋体"/>
                <w:b/>
                <w:bCs/>
                <w:kern w:val="0"/>
                <w:sz w:val="40"/>
                <w:szCs w:val="40"/>
                <w:lang w:val="en-US"/>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2024</w:t>
            </w:r>
            <w:r>
              <w:rPr>
                <w:rFonts w:hint="eastAsia" w:ascii="宋体" w:hAnsi="宋体" w:eastAsia="宋体" w:cs="宋体"/>
                <w:b/>
                <w:bCs/>
                <w:kern w:val="0"/>
                <w:sz w:val="40"/>
                <w:szCs w:val="40"/>
              </w:rPr>
              <w:t>年</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月</w:t>
            </w:r>
            <w:r>
              <w:rPr>
                <w:rFonts w:hint="eastAsia" w:ascii="宋体" w:hAnsi="宋体" w:eastAsia="宋体" w:cs="宋体"/>
                <w:b/>
                <w:bCs/>
                <w:kern w:val="0"/>
                <w:sz w:val="40"/>
                <w:szCs w:val="40"/>
                <w:lang w:val="en-US" w:eastAsia="zh-CN"/>
              </w:rPr>
              <w:t>28</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以现代教育理论，课程标准和考试指导纲要为指导，全面贯彻党的教育方针，深化教育改革，积极实施和推进素质教育;以基本知识、基本技能、基本思想和基本方法为基础，夯实基础，突出重点，突破难点，完善体系，构筑知识网络;以课堂教学为重点，结合知识与能力要求及学生实际，采用小步子、递进式教学模式，科学安排教学内容与教学难度，改革教学方法，提高课堂教学效益;以检查落实为切入口，不走过场，抓好落实，收到实效。　　</w:t>
            </w:r>
          </w:p>
          <w:p>
            <w:pPr>
              <w:widowControl/>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继续完成第一轮复习、模拟试卷练兵讲评，突出知识结构，扎实打好基础知识，全面落实考点，要做到每个知识点，方法点，能力点无一遗漏。在此基础上，注意各部分知识点在各自发展过程中的纵向联系，以及各个部分之间的横向联系，理清脉络，抓住知识主干，构建知识网络。在教学中重点抓好各中通性、通法以及常规方法的复习，是学生形成一些最基本的数学意识，掌握一些最基本的数学方法。同时加强章、节知识过关，注重训练的规范性，思考的严密性，有意识进行一定的综合训练，先小综合再大综合，适当地提升学生综合运用能力。</w:t>
            </w:r>
          </w:p>
          <w:p>
            <w:pPr>
              <w:widowControl/>
              <w:jc w:val="left"/>
              <w:rPr>
                <w:rFonts w:ascii="宋体" w:hAnsi="宋体" w:eastAsia="宋体" w:cs="宋体"/>
                <w:b/>
                <w:bCs/>
                <w:kern w:val="0"/>
                <w:sz w:val="32"/>
                <w:szCs w:val="32"/>
              </w:rPr>
            </w:pP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jc w:val="left"/>
              <w:rPr>
                <w:rFonts w:ascii="宋体" w:hAnsi="宋体" w:eastAsia="宋体" w:cs="宋体"/>
                <w:kern w:val="0"/>
                <w:sz w:val="32"/>
                <w:szCs w:val="32"/>
              </w:rPr>
            </w:pPr>
            <w:r>
              <w:rPr>
                <w:rFonts w:hint="eastAsia" w:ascii="宋体" w:hAnsi="宋体" w:eastAsia="宋体" w:cs="宋体"/>
                <w:b/>
                <w:bCs/>
                <w:kern w:val="0"/>
                <w:sz w:val="32"/>
                <w:szCs w:val="32"/>
              </w:rPr>
              <w:t>二、学情分析</w:t>
            </w:r>
            <w:r>
              <w:rPr>
                <w:rFonts w:hint="eastAsia" w:ascii="宋体" w:hAnsi="宋体" w:eastAsia="宋体" w:cs="宋体"/>
                <w:kern w:val="0"/>
                <w:sz w:val="32"/>
                <w:szCs w:val="32"/>
              </w:rPr>
              <w:t>：</w:t>
            </w:r>
            <w:r>
              <w:rPr>
                <w:rFonts w:hint="eastAsia" w:ascii="宋体" w:hAnsi="宋体" w:eastAsia="宋体" w:cs="宋体"/>
                <w:sz w:val="28"/>
                <w:szCs w:val="28"/>
                <w:lang w:val="en-US" w:eastAsia="zh-CN"/>
              </w:rPr>
              <w:t>21保育2班48人，为组重点班后剩余学生，以女生居多</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学生</w:t>
            </w:r>
            <w:r>
              <w:rPr>
                <w:rFonts w:hint="eastAsia" w:ascii="宋体" w:hAnsi="宋体" w:eastAsia="宋体" w:cs="宋体"/>
                <w:sz w:val="28"/>
                <w:szCs w:val="28"/>
              </w:rPr>
              <w:t>基础知识掌握较差，学习习惯不太好，学习数学的气氛不浓，学习不够刻苦,差生面特别广，很多学生从基础知识到学习能力都有待培养，培优辅差任务非常重;学生对数学学习普遍存在困难，且部分学生学习主动性不强，习惯较差，复习任务很艰巨。　</w:t>
            </w: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numPr>
                <w:ilvl w:val="0"/>
                <w:numId w:val="1"/>
              </w:numPr>
              <w:ind w:left="0" w:leftChars="0" w:firstLine="0" w:firstLineChars="0"/>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numPr>
                <w:ilvl w:val="0"/>
                <w:numId w:val="0"/>
              </w:numPr>
              <w:ind w:leftChars="0"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继续以</w:t>
            </w:r>
            <w:r>
              <w:rPr>
                <w:rFonts w:hint="eastAsia" w:ascii="宋体" w:hAnsi="宋体" w:eastAsia="宋体" w:cs="宋体"/>
                <w:sz w:val="28"/>
                <w:szCs w:val="28"/>
              </w:rPr>
              <w:t>《</w:t>
            </w:r>
            <w:r>
              <w:rPr>
                <w:rFonts w:hint="eastAsia" w:ascii="宋体" w:hAnsi="宋体" w:eastAsia="宋体" w:cs="宋体"/>
                <w:sz w:val="28"/>
                <w:szCs w:val="28"/>
                <w:lang w:val="en-US" w:eastAsia="zh-CN"/>
              </w:rPr>
              <w:t>2023版相约在高校-山东省数学知识梳理</w:t>
            </w:r>
            <w:r>
              <w:rPr>
                <w:rFonts w:hint="eastAsia" w:ascii="宋体" w:hAnsi="宋体" w:eastAsia="宋体" w:cs="宋体"/>
                <w:sz w:val="28"/>
                <w:szCs w:val="28"/>
              </w:rPr>
              <w:t>》</w:t>
            </w:r>
            <w:r>
              <w:rPr>
                <w:rFonts w:hint="eastAsia" w:ascii="宋体" w:hAnsi="宋体" w:eastAsia="宋体" w:cs="宋体"/>
                <w:sz w:val="28"/>
                <w:szCs w:val="28"/>
                <w:lang w:val="en-US" w:eastAsia="zh-CN"/>
              </w:rPr>
              <w:t>完成一轮复习和模拟练兵。</w:t>
            </w:r>
            <w:r>
              <w:rPr>
                <w:rFonts w:hint="eastAsia" w:ascii="宋体" w:hAnsi="宋体" w:eastAsia="宋体" w:cs="宋体"/>
                <w:sz w:val="28"/>
                <w:szCs w:val="28"/>
              </w:rPr>
              <w:t>近年来的高考数学试题逐步做到科学化、规范化，坚持了稳中求改、稳中创新的原则。高考试题不但坚持了考查全面，比例适当，布局合理的特点，也突出体现了变知识立意为能力立意这一举措。更加注重考查考生进入高校学习所需的基本素养，这些问题应引起我们在教学中的关注和重视。　　</w:t>
            </w:r>
          </w:p>
          <w:p>
            <w:pPr>
              <w:widowControl/>
              <w:jc w:val="left"/>
              <w:rPr>
                <w:rFonts w:hint="eastAsia" w:ascii="宋体" w:hAnsi="宋体" w:eastAsia="宋体" w:cs="宋体"/>
                <w:b/>
                <w:bCs/>
                <w:kern w:val="0"/>
                <w:sz w:val="32"/>
                <w:szCs w:val="32"/>
                <w:lang w:eastAsia="zh-CN"/>
              </w:rPr>
            </w:pPr>
          </w:p>
        </w:tc>
      </w:tr>
    </w:tbl>
    <w:p/>
    <w:p/>
    <w:p/>
    <w:p/>
    <w:p/>
    <w:tbl>
      <w:tblPr>
        <w:tblStyle w:val="2"/>
        <w:tblW w:w="10682" w:type="dxa"/>
        <w:tblInd w:w="0" w:type="dxa"/>
        <w:tblLayout w:type="autofit"/>
        <w:tblCellMar>
          <w:top w:w="0" w:type="dxa"/>
          <w:left w:w="108" w:type="dxa"/>
          <w:bottom w:w="0" w:type="dxa"/>
          <w:right w:w="108" w:type="dxa"/>
        </w:tblCellMar>
      </w:tblPr>
      <w:tblGrid>
        <w:gridCol w:w="833"/>
        <w:gridCol w:w="2056"/>
        <w:gridCol w:w="4189"/>
        <w:gridCol w:w="2453"/>
        <w:gridCol w:w="595"/>
        <w:gridCol w:w="359"/>
        <w:gridCol w:w="197"/>
      </w:tblGrid>
      <w:tr>
        <w:tblPrEx>
          <w:tblCellMar>
            <w:top w:w="0" w:type="dxa"/>
            <w:left w:w="108" w:type="dxa"/>
            <w:bottom w:w="0" w:type="dxa"/>
            <w:right w:w="108" w:type="dxa"/>
          </w:tblCellMar>
        </w:tblPrEx>
        <w:trPr>
          <w:gridAfter w:val="1"/>
          <w:wAfter w:w="197" w:type="dxa"/>
          <w:trHeight w:val="4635" w:hRule="atLeast"/>
        </w:trPr>
        <w:tc>
          <w:tcPr>
            <w:tcW w:w="10485" w:type="dxa"/>
            <w:gridSpan w:val="6"/>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0"/>
              </w:numPr>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加强章、节知识过关，注重训练的规范性，思考的严密性，有意识进行一定的综合训练，先小综合再大综合，适当地提升学生综合运用能力。</w:t>
            </w:r>
          </w:p>
          <w:p>
            <w:pPr>
              <w:widowControl/>
              <w:jc w:val="left"/>
              <w:rPr>
                <w:rFonts w:ascii="宋体" w:hAnsi="宋体" w:eastAsia="宋体" w:cs="宋体"/>
                <w:b/>
                <w:bCs/>
                <w:kern w:val="0"/>
                <w:sz w:val="32"/>
                <w:szCs w:val="32"/>
              </w:rPr>
            </w:pPr>
          </w:p>
        </w:tc>
      </w:tr>
      <w:tr>
        <w:tblPrEx>
          <w:tblCellMar>
            <w:top w:w="0" w:type="dxa"/>
            <w:left w:w="108" w:type="dxa"/>
            <w:bottom w:w="0" w:type="dxa"/>
            <w:right w:w="108" w:type="dxa"/>
          </w:tblCellMar>
        </w:tblPrEx>
        <w:trPr>
          <w:gridAfter w:val="1"/>
          <w:wAfter w:w="197" w:type="dxa"/>
          <w:trHeight w:val="15188" w:hRule="atLeast"/>
        </w:trPr>
        <w:tc>
          <w:tcPr>
            <w:tcW w:w="10485" w:type="dxa"/>
            <w:gridSpan w:val="6"/>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0"/>
              </w:numPr>
              <w:ind w:leftChars="0"/>
              <w:jc w:val="left"/>
              <w:rPr>
                <w:rFonts w:hint="eastAsia"/>
              </w:rPr>
            </w:pPr>
            <w:r>
              <w:rPr>
                <w:rFonts w:hint="eastAsia" w:ascii="宋体" w:hAnsi="宋体" w:eastAsia="宋体" w:cs="宋体"/>
                <w:b/>
                <w:bCs/>
                <w:kern w:val="0"/>
                <w:sz w:val="32"/>
                <w:szCs w:val="32"/>
                <w:lang w:val="en-US" w:eastAsia="zh-CN"/>
              </w:rPr>
              <w:t>四、</w:t>
            </w:r>
            <w:r>
              <w:rPr>
                <w:rFonts w:hint="eastAsia" w:ascii="宋体" w:hAnsi="宋体" w:eastAsia="宋体" w:cs="宋体"/>
                <w:b/>
                <w:bCs/>
                <w:kern w:val="0"/>
                <w:sz w:val="32"/>
                <w:szCs w:val="32"/>
              </w:rPr>
              <w:t>教学方法及采取措施：</w:t>
            </w:r>
          </w:p>
          <w:p>
            <w:pPr>
              <w:widowControl/>
              <w:numPr>
                <w:ilvl w:val="0"/>
                <w:numId w:val="0"/>
              </w:numPr>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1.高度重视基础知识，基本技能和基本方法的复习。注意蕴涵在基础知识中的能力因素，注意基本问题中的能力培养。</w:t>
            </w:r>
          </w:p>
          <w:p>
            <w:pPr>
              <w:widowControl/>
              <w:numPr>
                <w:ilvl w:val="0"/>
                <w:numId w:val="0"/>
              </w:numPr>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2.抓好课堂主阵地，提高客养教学效率，认真落实“做、 讲、评、练”各个环节，提高学生数学综合能力应试能力。</w:t>
            </w:r>
          </w:p>
          <w:p>
            <w:pPr>
              <w:widowControl/>
              <w:numPr>
                <w:ilvl w:val="0"/>
                <w:numId w:val="0"/>
              </w:numPr>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3.重视‘通性、通法’的落实。要把复习的重点放在教材中典型例题、习题上;放在体现通性、通法的例题、习题上;放在各部分知识网络之间的内在联系上抓好课堂教学质量，定出实施方法和评价方案。　　</w:t>
            </w:r>
          </w:p>
          <w:p>
            <w:pPr>
              <w:widowControl/>
              <w:numPr>
                <w:ilvl w:val="0"/>
                <w:numId w:val="0"/>
              </w:numPr>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4.认真研究学习《考试说明》、近三年的高考试题，提高复习课的效率。</w:t>
            </w:r>
          </w:p>
          <w:p>
            <w:pPr>
              <w:widowControl/>
              <w:numPr>
                <w:ilvl w:val="0"/>
                <w:numId w:val="0"/>
              </w:numPr>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渗透数学思想方法，培养数学学科能力。要加强数学思想方法的复习，如转化与化归的思想、函数与方程的思想、分类讨论的思想、数形结合的思想。以及配方法、换元法、待定系数法、反证法、数学归纳法、解析法等数学基本方法都要有意识地根据学生学习实际予以复习及落实。　　</w:t>
            </w:r>
          </w:p>
          <w:p>
            <w:pPr>
              <w:widowControl/>
              <w:numPr>
                <w:ilvl w:val="0"/>
                <w:numId w:val="0"/>
              </w:numPr>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6.加强学生应试技巧和应试心理教育。　</w:t>
            </w:r>
          </w:p>
          <w:p>
            <w:pPr>
              <w:widowControl/>
              <w:numPr>
                <w:ilvl w:val="0"/>
                <w:numId w:val="0"/>
              </w:numPr>
              <w:ind w:leftChars="0"/>
              <w:jc w:val="left"/>
              <w:rPr>
                <w:rFonts w:hint="eastAsia"/>
              </w:rPr>
            </w:pPr>
          </w:p>
        </w:tc>
      </w:tr>
      <w:tr>
        <w:tblPrEx>
          <w:tblCellMar>
            <w:top w:w="0" w:type="dxa"/>
            <w:left w:w="108" w:type="dxa"/>
            <w:bottom w:w="0" w:type="dxa"/>
            <w:right w:w="108" w:type="dxa"/>
          </w:tblCellMar>
        </w:tblPrEx>
        <w:trPr>
          <w:gridAfter w:val="1"/>
          <w:wAfter w:w="197" w:type="dxa"/>
          <w:trHeight w:val="540" w:hRule="atLeast"/>
        </w:trPr>
        <w:tc>
          <w:tcPr>
            <w:tcW w:w="10485" w:type="dxa"/>
            <w:gridSpan w:val="6"/>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63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技能集训</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p>
        </w:tc>
        <w:tc>
          <w:tcPr>
            <w:tcW w:w="556" w:type="dxa"/>
            <w:gridSpan w:val="2"/>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rPr>
          <w:trHeight w:val="51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技能集训及单招考试</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3月1-3</w:t>
            </w:r>
            <w:r>
              <w:rPr>
                <w:rFonts w:hint="eastAsia" w:ascii="楷体_GB2312" w:hAnsi="宋体" w:eastAsia="楷体_GB2312" w:cs="宋体"/>
                <w:kern w:val="0"/>
                <w:sz w:val="24"/>
                <w:szCs w:val="24"/>
                <w:lang w:val="en-US" w:eastAsia="zh-CN"/>
              </w:rPr>
              <w:t>单招考试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618"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技能集训及技能考试</w:t>
            </w:r>
            <w:bookmarkStart w:id="0" w:name="_GoBack"/>
            <w:bookmarkEnd w:id="0"/>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3月9-19日技能考试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62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9.4点线面的位置关系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55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9.4点线面的位置关系，10.1计数原理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10.2排列10.3组合10.4二项式定理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55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11.1概率初步，11.2统计初步</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49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模拟试卷讲评</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63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模拟试卷讲评</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lang w:val="en-US" w:eastAsia="zh-CN"/>
              </w:rPr>
            </w:pPr>
          </w:p>
        </w:tc>
      </w:tr>
      <w:tr>
        <w:trPr>
          <w:trHeight w:val="7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24"/>
                <w:szCs w:val="24"/>
                <w:lang w:val="en-US" w:eastAsia="zh-CN"/>
              </w:rPr>
              <w:t>模拟试卷讲评</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55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模拟试卷讲评</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lang w:val="en-US" w:eastAsia="zh-CN"/>
              </w:rPr>
              <w:t>模拟试卷讲评</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1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1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53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2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5"/>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63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5"/>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CF1DEE"/>
    <w:multiLevelType w:val="singleLevel"/>
    <w:tmpl w:val="A0CF1D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xYTE4OGFhZDdiMDFkYzVhNDAzMDVlNjczN2Q4NzUifQ=="/>
  </w:docVars>
  <w:rsids>
    <w:rsidRoot w:val="00C25877"/>
    <w:rsid w:val="00012916"/>
    <w:rsid w:val="003F2302"/>
    <w:rsid w:val="0078646B"/>
    <w:rsid w:val="009E40AD"/>
    <w:rsid w:val="00C23986"/>
    <w:rsid w:val="00C25877"/>
    <w:rsid w:val="00E6636F"/>
    <w:rsid w:val="00E90810"/>
    <w:rsid w:val="00EA769F"/>
    <w:rsid w:val="01CD5911"/>
    <w:rsid w:val="04415E6D"/>
    <w:rsid w:val="048A5E13"/>
    <w:rsid w:val="07AE485D"/>
    <w:rsid w:val="07FD0E46"/>
    <w:rsid w:val="08CA2649"/>
    <w:rsid w:val="08DE6E54"/>
    <w:rsid w:val="0B187425"/>
    <w:rsid w:val="0BA96EB9"/>
    <w:rsid w:val="0ED17426"/>
    <w:rsid w:val="1A807414"/>
    <w:rsid w:val="1C5A6223"/>
    <w:rsid w:val="227B0E58"/>
    <w:rsid w:val="230961F8"/>
    <w:rsid w:val="27A24D7A"/>
    <w:rsid w:val="298F02FF"/>
    <w:rsid w:val="2C6B7F24"/>
    <w:rsid w:val="2FDD4C94"/>
    <w:rsid w:val="31644F41"/>
    <w:rsid w:val="31AA7F15"/>
    <w:rsid w:val="33D04B10"/>
    <w:rsid w:val="36DA0D29"/>
    <w:rsid w:val="36FF634A"/>
    <w:rsid w:val="38076E90"/>
    <w:rsid w:val="3AF61300"/>
    <w:rsid w:val="3B007A89"/>
    <w:rsid w:val="3B2319C9"/>
    <w:rsid w:val="3BAF07F9"/>
    <w:rsid w:val="3FC079FF"/>
    <w:rsid w:val="42A81EB1"/>
    <w:rsid w:val="44F56185"/>
    <w:rsid w:val="479F0B82"/>
    <w:rsid w:val="49BD0391"/>
    <w:rsid w:val="49DE368B"/>
    <w:rsid w:val="503603A8"/>
    <w:rsid w:val="55654C60"/>
    <w:rsid w:val="56EB430F"/>
    <w:rsid w:val="581A4428"/>
    <w:rsid w:val="60015C19"/>
    <w:rsid w:val="61284214"/>
    <w:rsid w:val="636C1069"/>
    <w:rsid w:val="63E57D3E"/>
    <w:rsid w:val="69BA15C7"/>
    <w:rsid w:val="6A611A43"/>
    <w:rsid w:val="6AF51572"/>
    <w:rsid w:val="6B741C4A"/>
    <w:rsid w:val="6C0A7EB8"/>
    <w:rsid w:val="6E1246BB"/>
    <w:rsid w:val="6F59115E"/>
    <w:rsid w:val="6F9E54E7"/>
    <w:rsid w:val="703F45D4"/>
    <w:rsid w:val="722577FA"/>
    <w:rsid w:val="72B367B6"/>
    <w:rsid w:val="73687439"/>
    <w:rsid w:val="748C0BB7"/>
    <w:rsid w:val="751F0942"/>
    <w:rsid w:val="763A53BF"/>
    <w:rsid w:val="77DC4B6D"/>
    <w:rsid w:val="77FE703A"/>
    <w:rsid w:val="78732FA0"/>
    <w:rsid w:val="79870FB7"/>
    <w:rsid w:val="7B983519"/>
    <w:rsid w:val="7FA97CBC"/>
    <w:rsid w:val="7FF32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1347</Words>
  <Characters>1609</Characters>
  <Lines>5</Lines>
  <Paragraphs>1</Paragraphs>
  <TotalTime>4</TotalTime>
  <ScaleCrop>false</ScaleCrop>
  <LinksUpToDate>false</LinksUpToDate>
  <CharactersWithSpaces>1672</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czj</cp:lastModifiedBy>
  <dcterms:modified xsi:type="dcterms:W3CDTF">2024-02-28T01:55:29Z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2A3D5A20D78A45C0B23F2298FDA84459</vt:lpwstr>
  </property>
</Properties>
</file>